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320" w:after="160"/>
        <w:rPr>
          <w:b/>
          <w:sz w:val="38"/>
        </w:rPr>
      </w:pPr>
      <w:r>
        <w:rPr>
          <w:b/>
        </w:rPr>
        <w:t xml:space="preserve">Writing Guide — html.surf</w:t>
      </w:r>
    </w:p>
    <w:p>
      <w:pPr>
        <w:spacing w:before="320" w:after="160"/>
        <w:rPr>
          <w:b/>
          <w:sz w:val="38"/>
        </w:rPr>
      </w:pPr>
      <w:r>
        <w:rPr>
          <w:b/>
        </w:rPr>
        <w:t xml:space="preserve">Writing Guide</w:t>
      </w:r>
    </w:p>
    <w:p>
      <w:pPr>
        <w:spacing w:after="180" w:line="300" w:lineRule="auto"/>
      </w:pPr>
      <w:r>
        <w:t xml:space="preserve">html.surf style reference · </w:t>
      </w:r>
      <w:r>
        <w:t xml:space="preserve">Guide</w:t>
      </w:r>
      <w:r>
        <w:t xml:space="preserve">MCP</w:t>
      </w:r>
    </w:p>
    <w:p>
      <w:pPr>
        <w:spacing w:after="180" w:line="300" w:lineRule="auto"/>
      </w:pPr>
      <w:r>
        <w:t xml:space="preserve">Write clean semantic HTML fragments. The viewer provides everything else — typography, colour, spacing. Your job is structure and content.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Golden Rule</w:t>
      </w:r>
    </w:p>
    <w:p>
      <w:pPr>
        <w:spacing w:after="180" w:line="300" w:lineRule="auto"/>
      </w:pPr>
      <w:r>
        <w:t xml:space="preserve">Do </w:t>
      </w:r>
      <w:r>
        <w:rPr>
          <w:b/>
        </w:rPr>
        <w:t xml:space="preserve">not</w:t>
      </w:r>
      <w:r>
        <w:t xml:space="preserve"> include </w:t>
      </w:r>
      <w:r>
        <w:rPr>
          <w:rFonts w:ascii="Courier New" w:hAnsi="Courier New"/>
          <w:color w:val="6B4E16"/>
        </w:rPr>
        <w:t xml:space="preserve">&lt;!DOCTYPE&gt;</w:t>
      </w:r>
      <w:r>
        <w:t xml:space="preserve">, </w:t>
      </w:r>
      <w:r>
        <w:rPr>
          <w:rFonts w:ascii="Courier New" w:hAnsi="Courier New"/>
          <w:color w:val="6B4E16"/>
        </w:rPr>
        <w:t xml:space="preserve">&lt;html&gt;</w:t>
      </w:r>
      <w:r>
        <w:t xml:space="preserve">, </w:t>
      </w:r>
      <w:r>
        <w:rPr>
          <w:rFonts w:ascii="Courier New" w:hAnsi="Courier New"/>
          <w:color w:val="6B4E16"/>
        </w:rPr>
        <w:t xml:space="preserve">&lt;head&gt;</w:t>
      </w:r>
      <w:r>
        <w:t xml:space="preserve">, </w:t>
      </w:r>
      <w:r>
        <w:rPr>
          <w:rFonts w:ascii="Courier New" w:hAnsi="Courier New"/>
          <w:color w:val="6B4E16"/>
        </w:rPr>
        <w:t xml:space="preserve">&lt;body&gt;</w:t>
      </w:r>
      <w:r>
        <w:t xml:space="preserve">, or </w:t>
      </w:r>
      <w:r>
        <w:rPr>
          <w:rFonts w:ascii="Courier New" w:hAnsi="Courier New"/>
          <w:color w:val="6B4E16"/>
        </w:rPr>
        <w:t xml:space="preserve">&lt;style&gt;</w:t>
      </w:r>
      <w:r>
        <w:t xml:space="preserve"> tags. The viewer strips them anyway. Write a fragment rooted at </w:t>
      </w:r>
      <w:r>
        <w:rPr>
          <w:rFonts w:ascii="Courier New" w:hAnsi="Courier New"/>
          <w:color w:val="6B4E16"/>
        </w:rPr>
        <w:t xml:space="preserve">&lt;article&gt;</w:t>
      </w:r>
      <w:r>
        <w:t xml:space="preserve">.</w:t>
      </w:r>
    </w:p>
    <w:p>
      <w:pPr>
        <w:spacing w:after="180" w:line="300" w:lineRule="auto"/>
      </w:pPr>
      <w:r>
        <w:rPr>
          <w:b/>
        </w:rPr>
        <w:t xml:space="preserve">The canonical pattern:</w:t>
      </w:r>
      <w:r>
        <w:t xml:space="preserve"> See </w:t>
      </w:r>
      <w:r>
        <w:t xml:space="preserve">/p/rlm</w:t>
      </w:r>
      <w:r>
        <w:t xml:space="preserve"> — the RLM article is the reference implementation of this style.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Article Template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&lt;article&gt;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&lt;h1&gt;Your Title&lt;/h1&gt;</w:t>
      </w:r>
      <w:r>
        <w:rPr>
          <w:rFonts w:ascii="Courier New" w:hAnsi="Courier New"/>
          <w:color w:val="6B4E16"/>
        </w:rPr>
        <w:br/>
        <w:t xml:space="preserve"> &lt;p class="byline"&gt;By Author &amp;nbsp;·&amp;nbsp; Month Year &amp;nbsp;·&amp;nbsp;</w:t>
      </w:r>
      <w:r>
        <w:rPr>
          <w:rFonts w:ascii="Courier New" w:hAnsi="Courier New"/>
          <w:color w:val="6B4E16"/>
        </w:rPr>
        <w:br/>
        <w:t xml:space="preserve"> &lt;span class="tag"&gt;Tag&lt;/span&gt;</w:t>
      </w:r>
      <w:r>
        <w:rPr>
          <w:rFonts w:ascii="Courier New" w:hAnsi="Courier New"/>
          <w:color w:val="6B4E16"/>
        </w:rPr>
        <w:br/>
        <w:t xml:space="preserve"> &lt;/p&gt;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&lt;p class="lead"&gt;One punchy sentence that earns the read.&lt;/p&gt;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&lt;h2&gt;Section Title&lt;/h2&gt;</w:t>
      </w:r>
      <w:r>
        <w:rPr>
          <w:rFonts w:ascii="Courier New" w:hAnsi="Courier New"/>
          <w:color w:val="6B4E16"/>
        </w:rPr>
        <w:br/>
        <w:t xml:space="preserve"> &lt;p&gt;Body copy...&lt;/p&gt;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&lt;div class="callout"&gt;&lt;p&gt;&lt;strong&gt;Key insight:&lt;/strong&gt; One sentence.&lt;/p&gt;&lt;/div&gt;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&lt;h3&gt;Subsection&lt;/h3&gt;</w:t>
      </w:r>
      <w:r>
        <w:rPr>
          <w:rFonts w:ascii="Courier New" w:hAnsi="Courier New"/>
          <w:color w:val="6B4E16"/>
        </w:rPr>
        <w:br/>
        <w:t xml:space="preserve"> &lt;p&gt;...&lt;/p&gt;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&lt;figure&gt;</w:t>
      </w:r>
      <w:r>
        <w:rPr>
          <w:rFonts w:ascii="Courier New" w:hAnsi="Courier New"/>
          <w:color w:val="6B4E16"/>
        </w:rPr>
        <w:br/>
        <w:t xml:space="preserve"> &lt;svg viewBox="0 0 680 300"&gt;...&lt;/svg&gt;</w:t>
      </w:r>
      <w:r>
        <w:rPr>
          <w:rFonts w:ascii="Courier New" w:hAnsi="Courier New"/>
          <w:color w:val="6B4E16"/>
        </w:rPr>
        <w:br/>
        <w:t xml:space="preserve"> &lt;figcaption&gt;Fig 1. Caption text&lt;/figcaption&gt;</w:t>
      </w:r>
      <w:r>
        <w:rPr>
          <w:rFonts w:ascii="Courier New" w:hAnsi="Courier New"/>
          <w:color w:val="6B4E16"/>
        </w:rPr>
        <w:br/>
        <w:t xml:space="preserve"> &lt;/figure&gt;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&lt;pre&gt;&lt;code class="language-ts"&gt;const x = 1;&lt;/code&gt;&lt;/pre&gt;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 &lt;h2&gt;Further Reading&lt;/h2&gt;</w:t>
      </w:r>
      <w:r>
        <w:rPr>
          <w:rFonts w:ascii="Courier New" w:hAnsi="Courier New"/>
          <w:color w:val="6B4E16"/>
        </w:rPr>
        <w:br/>
        <w:t xml:space="preserve"> &lt;ul&gt;</w:t>
      </w:r>
      <w:r>
        <w:rPr>
          <w:rFonts w:ascii="Courier New" w:hAnsi="Courier New"/>
          <w:color w:val="6B4E16"/>
        </w:rPr>
        <w:br/>
        <w:t xml:space="preserve"> &lt;li&gt;&lt;a href="/p/other-page"&gt;Other Page&lt;/a&gt; — description&lt;/li&gt;</w:t>
      </w:r>
      <w:r>
        <w:rPr>
          <w:rFonts w:ascii="Courier New" w:hAnsi="Courier New"/>
          <w:color w:val="6B4E16"/>
        </w:rPr>
        <w:br/>
        <w:t xml:space="preserve"> &lt;/ul&gt;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&lt;/article&gt;</w:t>
      </w:r>
      <w:r/>
      <w:r>
        <w:br/>
      </w:r>
      <w:r>
        <w:br/>
      </w:r>
      <w:r>
        <w:t xml:space="preserve">CSS Variables</w:t>
      </w:r>
      <w:r/>
      <w:r>
        <w:br/>
      </w:r>
      <w:r>
        <w:t xml:space="preserve">Use these for any inline styles. Never hardcode hex values.</w:t>
      </w:r>
    </w:p>
    <w:p>
      <w:pPr>
        <w:spacing w:after="180" w:line="300" w:lineRule="auto"/>
      </w:pPr>
      <w:r>
        <w:t xml:space="preserve">Variable</w:t>
      </w:r>
    </w:p>
    <w:p>
      <w:pPr>
        <w:spacing w:after="180" w:line="300" w:lineRule="auto"/>
      </w:pPr>
      <w:r>
        <w:t xml:space="preserve">Use for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var(--paper)</w:t>
      </w:r>
    </w:p>
    <w:p>
      <w:pPr>
        <w:spacing w:after="180" w:line="300" w:lineRule="auto"/>
      </w:pPr>
      <w:r>
        <w:t xml:space="preserve">Page background (#f7f3ed)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var(--paper-2)</w:t>
      </w:r>
    </w:p>
    <w:p>
      <w:pPr>
        <w:spacing w:after="180" w:line="300" w:lineRule="auto"/>
      </w:pPr>
      <w:r>
        <w:t xml:space="preserve">Card/callout backgrounds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var(--paper-3)</w:t>
      </w:r>
    </w:p>
    <w:p>
      <w:pPr>
        <w:spacing w:after="180" w:line="300" w:lineRule="auto"/>
      </w:pPr>
      <w:r>
        <w:t xml:space="preserve">Borders, dividers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var(--ink)</w:t>
      </w:r>
    </w:p>
    <w:p>
      <w:pPr>
        <w:spacing w:after="180" w:line="300" w:lineRule="auto"/>
      </w:pPr>
      <w:r>
        <w:t xml:space="preserve">Primary text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var(--ink-2)</w:t>
      </w:r>
    </w:p>
    <w:p>
      <w:pPr>
        <w:spacing w:after="180" w:line="300" w:lineRule="auto"/>
      </w:pPr>
      <w:r>
        <w:t xml:space="preserve">Body text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var(--ink-3)</w:t>
      </w:r>
    </w:p>
    <w:p>
      <w:pPr>
        <w:spacing w:after="180" w:line="300" w:lineRule="auto"/>
      </w:pPr>
      <w:r>
        <w:t xml:space="preserve">Muted/meta text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var(--accent)</w:t>
      </w:r>
    </w:p>
    <w:p>
      <w:pPr>
        <w:spacing w:after="180" w:line="300" w:lineRule="auto"/>
      </w:pPr>
      <w:r>
        <w:t xml:space="preserve">Terracotta highlights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var(--link)</w:t>
      </w:r>
    </w:p>
    <w:p>
      <w:pPr>
        <w:spacing w:after="180" w:line="300" w:lineRule="auto"/>
      </w:pPr>
      <w:r>
        <w:t xml:space="preserve">Hyperlinks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var(--font-display)</w:t>
      </w:r>
    </w:p>
    <w:p>
      <w:pPr>
        <w:spacing w:after="180" w:line="300" w:lineRule="auto"/>
      </w:pPr>
      <w:r>
        <w:t xml:space="preserve">Playfair Display (headings)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var(--font-body)</w:t>
      </w:r>
    </w:p>
    <w:p>
      <w:pPr>
        <w:spacing w:after="180" w:line="300" w:lineRule="auto"/>
      </w:pPr>
      <w:r>
        <w:t xml:space="preserve">Lora (body text)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var(--font-mono)</w:t>
      </w:r>
    </w:p>
    <w:p>
      <w:pPr>
        <w:spacing w:after="180" w:line="300" w:lineRule="auto"/>
      </w:pPr>
      <w:r>
        <w:t xml:space="preserve">Fira Code (code, bylines)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Built-in Component Classes</w:t>
      </w:r>
    </w:p>
    <w:p>
      <w:pPr>
        <w:spacing w:after="180" w:line="300" w:lineRule="auto"/>
      </w:pPr>
      <w:r>
        <w:t xml:space="preserve">Class</w:t>
      </w:r>
    </w:p>
    <w:p>
      <w:pPr>
        <w:spacing w:after="180" w:line="300" w:lineRule="auto"/>
      </w:pPr>
      <w:r>
        <w:t xml:space="preserve">Use for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.byline</w:t>
      </w:r>
    </w:p>
    <w:p>
      <w:pPr>
        <w:spacing w:after="180" w:line="300" w:lineRule="auto"/>
      </w:pPr>
      <w:r>
        <w:t xml:space="preserve">Author · date · tags row under h1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.lead</w:t>
      </w:r>
    </w:p>
    <w:p>
      <w:pPr>
        <w:spacing w:after="180" w:line="300" w:lineRule="auto"/>
      </w:pPr>
      <w:r>
        <w:t xml:space="preserve">Italic opening paragraph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.callout</w:t>
      </w:r>
    </w:p>
    <w:p>
      <w:pPr>
        <w:spacing w:after="180" w:line="300" w:lineRule="auto"/>
      </w:pPr>
      <w:r>
        <w:t xml:space="preserve">Terracotta left-border highlight box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.tag</w:t>
      </w:r>
    </w:p>
    <w:p>
      <w:pPr>
        <w:spacing w:after="180" w:line="300" w:lineRule="auto"/>
      </w:pPr>
      <w:r>
        <w:t xml:space="preserve">Inline category pill (used inside .byline)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figcaption</w:t>
      </w:r>
    </w:p>
    <w:p>
      <w:pPr>
        <w:spacing w:after="180" w:line="300" w:lineRule="auto"/>
      </w:pPr>
      <w:r>
        <w:t xml:space="preserve">Mono caption under figures/SVGs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Validator — Errors (block save)</w:t>
      </w:r>
    </w:p>
    <w:p>
      <w:pPr>
        <w:spacing w:after="180" w:line="300" w:lineRule="auto"/>
      </w:pPr>
      <w:r>
        <w:t xml:space="preserve">Code</w:t>
      </w:r>
    </w:p>
    <w:p>
      <w:pPr>
        <w:spacing w:after="180" w:line="300" w:lineRule="auto"/>
      </w:pPr>
      <w:r>
        <w:t xml:space="preserve">Issue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SCRIPT_TAG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&lt;script&gt;</w:t>
      </w:r>
      <w:r>
        <w:t xml:space="preserve"> tags not allowed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JS_HREF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javascript:</w:t>
      </w:r>
      <w:r>
        <w:t xml:space="preserve"> hrefs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INLINE_EVENT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onclick</w:t>
      </w:r>
      <w:r>
        <w:t xml:space="preserve">, </w:t>
      </w:r>
      <w:r>
        <w:rPr>
          <w:rFonts w:ascii="Courier New" w:hAnsi="Courier New"/>
          <w:color w:val="6B4E16"/>
        </w:rPr>
        <w:t xml:space="preserve">onload</w:t>
      </w:r>
      <w:r>
        <w:t xml:space="preserve"> etc.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DATA_URI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src="data:..."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IFRAME</w:t>
      </w:r>
    </w:p>
    <w:p>
      <w:pPr>
        <w:spacing w:after="180" w:line="300" w:lineRule="auto"/>
      </w:pPr>
      <w:r>
        <w:t xml:space="preserve">Embedded frames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FORM_ACTION</w:t>
      </w:r>
    </w:p>
    <w:p>
      <w:pPr>
        <w:spacing w:after="180" w:line="300" w:lineRule="auto"/>
      </w:pPr>
      <w:r>
        <w:t xml:space="preserve">Forms posting to external URLs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Validator — Warnings (advisory)</w:t>
      </w:r>
    </w:p>
    <w:p>
      <w:pPr>
        <w:spacing w:after="180" w:line="300" w:lineRule="auto"/>
      </w:pPr>
      <w:r>
        <w:t xml:space="preserve">Code</w:t>
      </w:r>
    </w:p>
    <w:p>
      <w:pPr>
        <w:spacing w:after="180" w:line="300" w:lineRule="auto"/>
      </w:pPr>
      <w:r>
        <w:t xml:space="preserve">Fix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HARDCODED_FONT_FAMILY</w:t>
      </w:r>
    </w:p>
    <w:p>
      <w:pPr>
        <w:spacing w:after="180" w:line="300" w:lineRule="auto"/>
      </w:pPr>
      <w:r>
        <w:t xml:space="preserve">Use </w:t>
      </w:r>
      <w:r>
        <w:rPr>
          <w:rFonts w:ascii="Courier New" w:hAnsi="Courier New"/>
          <w:color w:val="6B4E16"/>
        </w:rPr>
        <w:t xml:space="preserve">var(--font-body)</w:t>
      </w:r>
      <w:r>
        <w:t xml:space="preserve"> or </w:t>
      </w:r>
      <w:r>
        <w:rPr>
          <w:rFonts w:ascii="Courier New" w:hAnsi="Courier New"/>
          <w:color w:val="6B4E16"/>
        </w:rPr>
        <w:t xml:space="preserve">var(--font-display)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HARDCODED_COLOR</w:t>
      </w:r>
    </w:p>
    <w:p>
      <w:pPr>
        <w:spacing w:after="180" w:line="300" w:lineRule="auto"/>
      </w:pPr>
      <w:r>
        <w:t xml:space="preserve">Use </w:t>
      </w:r>
      <w:r>
        <w:rPr>
          <w:rFonts w:ascii="Courier New" w:hAnsi="Courier New"/>
          <w:color w:val="6B4E16"/>
        </w:rPr>
        <w:t xml:space="preserve">var(--ink)</w:t>
      </w:r>
      <w:r>
        <w:t xml:space="preserve">, </w:t>
      </w:r>
      <w:r>
        <w:rPr>
          <w:rFonts w:ascii="Courier New" w:hAnsi="Courier New"/>
          <w:color w:val="6B4E16"/>
        </w:rPr>
        <w:t xml:space="preserve">var(--accent)</w:t>
      </w:r>
      <w:r>
        <w:t xml:space="preserve"> etc.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HARDCODED_BACKGROUND</w:t>
      </w:r>
    </w:p>
    <w:p>
      <w:pPr>
        <w:spacing w:after="180" w:line="300" w:lineRule="auto"/>
      </w:pPr>
      <w:r>
        <w:t xml:space="preserve">Use </w:t>
      </w:r>
      <w:r>
        <w:rPr>
          <w:rFonts w:ascii="Courier New" w:hAnsi="Courier New"/>
          <w:color w:val="6B4E16"/>
        </w:rPr>
        <w:t xml:space="preserve">var(--paper)</w:t>
      </w:r>
      <w:r>
        <w:t xml:space="preserve">, </w:t>
      </w:r>
      <w:r>
        <w:rPr>
          <w:rFonts w:ascii="Courier New" w:hAnsi="Courier New"/>
          <w:color w:val="6B4E16"/>
        </w:rPr>
        <w:t xml:space="preserve">var(--paper-2)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WRAPPER_MAX_WIDTH</w:t>
      </w:r>
    </w:p>
    <w:p>
      <w:pPr>
        <w:spacing w:after="180" w:line="300" w:lineRule="auto"/>
      </w:pPr>
      <w:r>
        <w:t xml:space="preserve">Remove — viewer controls reading width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MCP Workflow</w:t>
      </w:r>
    </w:p>
    <w:p>
      <w:pPr>
        <w:spacing w:after="120"/>
        <w:shd w:fill="F2EFE8"/>
      </w:pPr>
      <w:r>
        <w:rPr>
          <w:rFonts w:ascii="Courier New" w:hAnsi="Courier New"/>
          <w:color w:val="6B4E16"/>
        </w:rPr>
        <w:t xml:space="preserve">// Always validate before writing const check = await mcp.validate({ html }) if (!check.ok) { /* fix errors */ } // Then write await mcp.write({ slug: 'my-topic', html, public: true })</w:t>
      </w:r>
    </w:p>
    <w:sectPr>
      <w:pgSz w:w="12240" w:h="15840"/>
      <w:pgMar w:top="1080" w:right="1080" w:bottom="1080" w:left="1080" w:header="720" w:footer="720" w:gutter="0"/>
    </w:sectPr>
  </w:body>
</w:document>
</file>